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3E88" w14:textId="77777777" w:rsidR="00317F4D" w:rsidRPr="00317F4D" w:rsidRDefault="00317F4D" w:rsidP="00317F4D">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399"/>
      <w:bookmarkStart w:id="1" w:name="_Toc146804918"/>
      <w:r w:rsidRPr="00317F4D">
        <w:rPr>
          <w:rFonts w:eastAsia="Calibri" w:cs="Times New Roman"/>
          <w:b/>
          <w:caps/>
          <w:kern w:val="0"/>
          <w:sz w:val="24"/>
          <w:szCs w:val="24"/>
          <w14:ligatures w14:val="none"/>
        </w:rPr>
        <w:t>Bãi gỗ/kho gỗ</w:t>
      </w:r>
      <w:bookmarkEnd w:id="0"/>
      <w:bookmarkEnd w:id="1"/>
    </w:p>
    <w:p w14:paraId="4F98BCE7" w14:textId="77777777" w:rsidR="00317F4D" w:rsidRPr="00317F4D" w:rsidRDefault="00317F4D" w:rsidP="00317F4D">
      <w:pPr>
        <w:overflowPunct w:val="0"/>
        <w:autoSpaceDE w:val="0"/>
        <w:autoSpaceDN w:val="0"/>
        <w:adjustRightInd w:val="0"/>
        <w:spacing w:before="60" w:after="60" w:line="240" w:lineRule="auto"/>
        <w:jc w:val="both"/>
        <w:rPr>
          <w:rFonts w:eastAsia="Calibri" w:cs="Times New Roman"/>
          <w:kern w:val="0"/>
          <w:sz w:val="28"/>
          <w:szCs w:val="28"/>
          <w:lang w:val="vi-VN"/>
          <w14:ligatures w14:val="none"/>
        </w:rPr>
      </w:pPr>
      <w:r w:rsidRPr="00317F4D">
        <w:rPr>
          <w:rFonts w:eastAsia="Calibri" w:cs="Times New Roman"/>
          <w:kern w:val="0"/>
          <w:sz w:val="28"/>
          <w:szCs w:val="28"/>
          <w:lang w:val="pt-BR"/>
          <w14:ligatures w14:val="none"/>
        </w:rPr>
        <w:t>gỗ, củi, tre, nứa được gọi chung là lâm sản, sau khi chặt hạ xong, bằng các phương tiện v</w:t>
      </w:r>
      <w:r w:rsidRPr="00317F4D">
        <w:rPr>
          <w:rFonts w:eastAsia="Calibri" w:cs="Times New Roman"/>
          <w:kern w:val="0"/>
          <w:sz w:val="28"/>
          <w:szCs w:val="28"/>
          <w:lang w:val="vi-VN"/>
          <w14:ligatures w14:val="none"/>
        </w:rPr>
        <w:t>ậ</w:t>
      </w:r>
      <w:r w:rsidRPr="00317F4D">
        <w:rPr>
          <w:rFonts w:eastAsia="Calibri" w:cs="Times New Roman"/>
          <w:kern w:val="0"/>
          <w:sz w:val="28"/>
          <w:szCs w:val="28"/>
          <w:lang w:val="pt-BR"/>
          <w14:ligatures w14:val="none"/>
        </w:rPr>
        <w:t>n xuất hoặc vận chuyển được tập trung lại ở một địa điểm, thuận tiện cho việc dự trữ, bảo quản, phân</w:t>
      </w:r>
      <w:r w:rsidRPr="00317F4D">
        <w:rPr>
          <w:rFonts w:eastAsia="Calibri" w:cs="Times New Roman"/>
          <w:kern w:val="0"/>
          <w:sz w:val="28"/>
          <w:szCs w:val="28"/>
          <w:lang w:val="vi-VN"/>
          <w14:ligatures w14:val="none"/>
        </w:rPr>
        <w:t xml:space="preserve"> loại</w:t>
      </w:r>
      <w:r w:rsidRPr="00317F4D">
        <w:rPr>
          <w:rFonts w:eastAsia="Calibri" w:cs="Times New Roman"/>
          <w:kern w:val="0"/>
          <w:sz w:val="28"/>
          <w:szCs w:val="28"/>
          <w:lang w:val="pt-BR"/>
          <w14:ligatures w14:val="none"/>
        </w:rPr>
        <w:t xml:space="preserve"> và vận chuyển đến nơi tiêu thụ. Tuỳ theo vị trí, tính chất công việc, quy mô sản xuất mà người ta gọi điểm tập trung lâm sản này là bãi gỗ hoặc kho gỗ I, kho gỗ II</w:t>
      </w:r>
      <w:r w:rsidRPr="00317F4D">
        <w:rPr>
          <w:rFonts w:eastAsia="Calibri" w:cs="Times New Roman"/>
          <w:kern w:val="0"/>
          <w:sz w:val="28"/>
          <w:szCs w:val="28"/>
          <w:lang w:val="vi-VN"/>
          <w14:ligatures w14:val="none"/>
        </w:rPr>
        <w:t>.</w:t>
      </w:r>
      <w:r w:rsidRPr="00317F4D">
        <w:rPr>
          <w:rFonts w:eastAsia="Calibri" w:cs="Times New Roman"/>
          <w:kern w:val="0"/>
          <w:sz w:val="28"/>
          <w:szCs w:val="28"/>
          <w:lang w:val="pt-BR"/>
          <w14:ligatures w14:val="none"/>
        </w:rPr>
        <w:t xml:space="preserve"> Ngoài</w:t>
      </w:r>
      <w:r w:rsidRPr="00317F4D">
        <w:rPr>
          <w:rFonts w:eastAsia="Calibri" w:cs="Times New Roman"/>
          <w:kern w:val="0"/>
          <w:sz w:val="28"/>
          <w:szCs w:val="28"/>
          <w:lang w:val="vi-VN"/>
          <w14:ligatures w14:val="none"/>
        </w:rPr>
        <w:t xml:space="preserve"> các b</w:t>
      </w:r>
      <w:r w:rsidRPr="00317F4D">
        <w:rPr>
          <w:rFonts w:eastAsia="Calibri" w:cs="Times New Roman"/>
          <w:kern w:val="0"/>
          <w:sz w:val="28"/>
          <w:szCs w:val="28"/>
          <w:lang w:val="pt-BR"/>
          <w14:ligatures w14:val="none"/>
        </w:rPr>
        <w:t>ãi gỗ chính</w:t>
      </w:r>
      <w:r w:rsidRPr="00317F4D">
        <w:rPr>
          <w:rFonts w:eastAsia="Calibri" w:cs="Times New Roman"/>
          <w:kern w:val="0"/>
          <w:sz w:val="28"/>
          <w:szCs w:val="28"/>
          <w:lang w:val="vi-VN"/>
          <w14:ligatures w14:val="none"/>
        </w:rPr>
        <w:t>, còn có các bãi gỗ tạm thời làm</w:t>
      </w:r>
      <w:r w:rsidRPr="00317F4D">
        <w:rPr>
          <w:rFonts w:eastAsia="Calibri" w:cs="Times New Roman"/>
          <w:kern w:val="0"/>
          <w:sz w:val="28"/>
          <w:szCs w:val="28"/>
          <w:lang w:val="pt-BR"/>
          <w14:ligatures w14:val="none"/>
        </w:rPr>
        <w:t xml:space="preserve"> nhiệm vụ chứa lâm sản trong thời gian nhất</w:t>
      </w:r>
      <w:r w:rsidRPr="00317F4D">
        <w:rPr>
          <w:rFonts w:eastAsia="Calibri" w:cs="Times New Roman"/>
          <w:kern w:val="0"/>
          <w:sz w:val="28"/>
          <w:szCs w:val="28"/>
          <w:lang w:val="vi-VN"/>
          <w14:ligatures w14:val="none"/>
        </w:rPr>
        <w:t xml:space="preserve"> định. </w:t>
      </w:r>
      <w:r w:rsidRPr="00317F4D">
        <w:rPr>
          <w:rFonts w:eastAsia="Calibri" w:cs="Times New Roman"/>
          <w:kern w:val="0"/>
          <w:sz w:val="28"/>
          <w:szCs w:val="28"/>
          <w:lang w:val="pt-BR"/>
          <w14:ligatures w14:val="none"/>
        </w:rPr>
        <w:t xml:space="preserve">Trong một khu khai thác, có thể xây dựng nhiều bãi gỗ tạm thời, nằm rải rác ở hai bên đường nhánh vận chuyển. Chúng được sử dụng với mục đích rút ngắn cự li vận xuất nhằm nâng cao năng suất lao động, giảm giá thành khai thác lâm sản. Kho gỗ I có nhiệm vụ chứa lâm sản đã chặt hạ được từ các lô khai thác trong một thời gian nhất định, không quá mười hai tháng. </w:t>
      </w:r>
      <w:r w:rsidRPr="00317F4D">
        <w:rPr>
          <w:rFonts w:eastAsia="Calibri" w:cs="Times New Roman"/>
          <w:kern w:val="0"/>
          <w:sz w:val="28"/>
          <w:szCs w:val="28"/>
          <w:lang w:val="vi-VN"/>
          <w14:ligatures w14:val="none"/>
        </w:rPr>
        <w:t>T</w:t>
      </w:r>
      <w:r w:rsidRPr="00317F4D">
        <w:rPr>
          <w:rFonts w:eastAsia="Calibri" w:cs="Times New Roman"/>
          <w:kern w:val="0"/>
          <w:sz w:val="28"/>
          <w:szCs w:val="28"/>
          <w:lang w:val="pt-BR"/>
          <w14:ligatures w14:val="none"/>
        </w:rPr>
        <w:t>ùy thuộc vào công nghệ khai thác, lâm sản sau khi dỡ khỏi các phương tiện v</w:t>
      </w:r>
      <w:r w:rsidRPr="00317F4D">
        <w:rPr>
          <w:rFonts w:eastAsia="Calibri" w:cs="Times New Roman"/>
          <w:kern w:val="0"/>
          <w:sz w:val="28"/>
          <w:szCs w:val="28"/>
          <w:lang w:val="vi-VN"/>
          <w14:ligatures w14:val="none"/>
        </w:rPr>
        <w:t>ậ</w:t>
      </w:r>
      <w:r w:rsidRPr="00317F4D">
        <w:rPr>
          <w:rFonts w:eastAsia="Calibri" w:cs="Times New Roman"/>
          <w:kern w:val="0"/>
          <w:sz w:val="28"/>
          <w:szCs w:val="28"/>
          <w:lang w:val="pt-BR"/>
          <w14:ligatures w14:val="none"/>
        </w:rPr>
        <w:t>n xu</w:t>
      </w:r>
      <w:r w:rsidRPr="00317F4D">
        <w:rPr>
          <w:rFonts w:eastAsia="Calibri" w:cs="Times New Roman"/>
          <w:kern w:val="0"/>
          <w:sz w:val="28"/>
          <w:szCs w:val="28"/>
          <w:lang w:val="vi-VN"/>
          <w14:ligatures w14:val="none"/>
        </w:rPr>
        <w:t>ấ</w:t>
      </w:r>
      <w:r w:rsidRPr="00317F4D">
        <w:rPr>
          <w:rFonts w:eastAsia="Calibri" w:cs="Times New Roman"/>
          <w:kern w:val="0"/>
          <w:sz w:val="28"/>
          <w:szCs w:val="28"/>
          <w:lang w:val="pt-BR"/>
          <w14:ligatures w14:val="none"/>
        </w:rPr>
        <w:t>t được sơ chế, phân loại, xếp đống, bảo quản và bốc lên các thiết bị vận chuyển để chở về kho gỗ II hoặc đưa đến người tiêu thụ. Với nhiệm vụ đó, kho gỗ I cần có một diện tích nhất định và được x</w:t>
      </w:r>
      <w:r w:rsidRPr="00317F4D">
        <w:rPr>
          <w:rFonts w:eastAsia="Calibri" w:cs="Times New Roman"/>
          <w:kern w:val="0"/>
          <w:sz w:val="28"/>
          <w:szCs w:val="28"/>
          <w:lang w:val="vi-VN"/>
          <w14:ligatures w14:val="none"/>
        </w:rPr>
        <w:t>â</w:t>
      </w:r>
      <w:r w:rsidRPr="00317F4D">
        <w:rPr>
          <w:rFonts w:eastAsia="Calibri" w:cs="Times New Roman"/>
          <w:kern w:val="0"/>
          <w:sz w:val="28"/>
          <w:szCs w:val="28"/>
          <w:lang w:val="pt-BR"/>
          <w14:ligatures w14:val="none"/>
        </w:rPr>
        <w:t>y dựn</w:t>
      </w:r>
      <w:r w:rsidRPr="00317F4D">
        <w:rPr>
          <w:rFonts w:eastAsia="Calibri" w:cs="Times New Roman"/>
          <w:kern w:val="0"/>
          <w:sz w:val="28"/>
          <w:szCs w:val="28"/>
          <w:lang w:val="vi-VN"/>
          <w14:ligatures w14:val="none"/>
        </w:rPr>
        <w:t>g</w:t>
      </w:r>
      <w:r w:rsidRPr="00317F4D">
        <w:rPr>
          <w:rFonts w:eastAsia="Calibri" w:cs="Times New Roman"/>
          <w:kern w:val="0"/>
          <w:sz w:val="28"/>
          <w:szCs w:val="28"/>
          <w:lang w:val="pt-BR"/>
          <w14:ligatures w14:val="none"/>
        </w:rPr>
        <w:t xml:space="preserve"> ở vị trí bằng phẳng, cao ráo, không có mạch nước ngầm, địa chất ổn định, không bị xói lở. </w:t>
      </w:r>
      <w:r w:rsidRPr="00317F4D">
        <w:rPr>
          <w:rFonts w:eastAsia="Calibri" w:cs="Times New Roman"/>
          <w:kern w:val="0"/>
          <w:sz w:val="28"/>
          <w:szCs w:val="28"/>
          <w:lang w:val="vi-VN"/>
          <w14:ligatures w14:val="none"/>
        </w:rPr>
        <w:t>Đ</w:t>
      </w:r>
      <w:r w:rsidRPr="00317F4D">
        <w:rPr>
          <w:rFonts w:eastAsia="Calibri" w:cs="Times New Roman"/>
          <w:kern w:val="0"/>
          <w:sz w:val="28"/>
          <w:szCs w:val="28"/>
          <w:lang w:val="pt-BR"/>
          <w14:ligatures w14:val="none"/>
        </w:rPr>
        <w:t>ộ dốc cho phép từ</w:t>
      </w:r>
      <w:r w:rsidRPr="00317F4D">
        <w:rPr>
          <w:rFonts w:eastAsia="Calibri" w:cs="Times New Roman"/>
          <w:kern w:val="0"/>
          <w:sz w:val="28"/>
          <w:szCs w:val="28"/>
          <w:lang w:val="vi-VN"/>
          <w14:ligatures w14:val="none"/>
        </w:rPr>
        <w:t xml:space="preserve"> </w:t>
      </w:r>
      <w:r w:rsidRPr="00317F4D">
        <w:rPr>
          <w:rFonts w:eastAsia="Calibri" w:cs="Times New Roman"/>
          <w:kern w:val="0"/>
          <w:sz w:val="28"/>
          <w:szCs w:val="28"/>
          <w:lang w:val="pt-BR"/>
          <w14:ligatures w14:val="none"/>
        </w:rPr>
        <w:t>5</w:t>
      </w:r>
      <w:r w:rsidRPr="00317F4D">
        <w:rPr>
          <w:rFonts w:eastAsia="Calibri" w:cs="Times New Roman"/>
          <w:kern w:val="0"/>
          <w:sz w:val="28"/>
          <w:szCs w:val="28"/>
          <w:vertAlign w:val="superscript"/>
          <w:lang w:val="vi-VN"/>
          <w14:ligatures w14:val="none"/>
        </w:rPr>
        <w:t>o</w:t>
      </w:r>
      <w:r w:rsidRPr="00317F4D">
        <w:rPr>
          <w:rFonts w:eastAsia="Calibri" w:cs="Times New Roman"/>
          <w:kern w:val="0"/>
          <w:sz w:val="28"/>
          <w:szCs w:val="28"/>
          <w:lang w:val="vi-VN"/>
          <w14:ligatures w14:val="none"/>
        </w:rPr>
        <w:t xml:space="preserve"> đến</w:t>
      </w:r>
      <w:r w:rsidRPr="00317F4D">
        <w:rPr>
          <w:rFonts w:eastAsia="Calibri" w:cs="Times New Roman"/>
          <w:kern w:val="0"/>
          <w:sz w:val="28"/>
          <w:szCs w:val="28"/>
          <w:lang w:val="pt-BR"/>
          <w14:ligatures w14:val="none"/>
        </w:rPr>
        <w:t xml:space="preserve"> 10</w:t>
      </w:r>
      <w:r w:rsidRPr="00317F4D">
        <w:rPr>
          <w:rFonts w:eastAsia="Calibri" w:cs="Times New Roman"/>
          <w:kern w:val="0"/>
          <w:sz w:val="28"/>
          <w:szCs w:val="28"/>
          <w:vertAlign w:val="superscript"/>
          <w:lang w:val="vi-VN"/>
          <w14:ligatures w14:val="none"/>
        </w:rPr>
        <w:t>o</w:t>
      </w:r>
      <w:r w:rsidRPr="00317F4D">
        <w:rPr>
          <w:rFonts w:eastAsia="Calibri" w:cs="Times New Roman"/>
          <w:kern w:val="0"/>
          <w:sz w:val="28"/>
          <w:szCs w:val="28"/>
          <w:lang w:val="pt-BR"/>
          <w14:ligatures w14:val="none"/>
        </w:rPr>
        <w:t xml:space="preserve"> nghiêng về phía bốc gỗ. Kho gỗ II làm nhiệm vụ chứa lâm sản được vận chuyển từ khu khai thác để dự trữ bảo quản, phân loại, chế biến nhằm nâng cao giá trị của lâm sản phục vụ cho các</w:t>
      </w:r>
      <w:r w:rsidRPr="00317F4D">
        <w:rPr>
          <w:rFonts w:eastAsia="Calibri" w:cs="Times New Roman"/>
          <w:kern w:val="0"/>
          <w:sz w:val="28"/>
          <w:szCs w:val="28"/>
          <w:lang w:val="vi-VN"/>
          <w14:ligatures w14:val="none"/>
        </w:rPr>
        <w:t xml:space="preserve"> mục đích khác nhau</w:t>
      </w:r>
      <w:r w:rsidRPr="00317F4D">
        <w:rPr>
          <w:rFonts w:eastAsia="Calibri" w:cs="Times New Roman"/>
          <w:kern w:val="0"/>
          <w:sz w:val="28"/>
          <w:szCs w:val="28"/>
          <w:lang w:val="pt-BR"/>
          <w14:ligatures w14:val="none"/>
        </w:rPr>
        <w:t xml:space="preserve">. </w:t>
      </w:r>
      <w:r w:rsidRPr="00317F4D">
        <w:rPr>
          <w:rFonts w:eastAsia="Calibri" w:cs="Times New Roman"/>
          <w:kern w:val="0"/>
          <w:sz w:val="28"/>
          <w:szCs w:val="28"/>
          <w:lang w:val="vi-VN"/>
          <w14:ligatures w14:val="none"/>
        </w:rPr>
        <w:t>K</w:t>
      </w:r>
      <w:r w:rsidRPr="00317F4D">
        <w:rPr>
          <w:rFonts w:eastAsia="Calibri" w:cs="Times New Roman"/>
          <w:kern w:val="0"/>
          <w:sz w:val="28"/>
          <w:szCs w:val="28"/>
          <w:lang w:val="pt-BR"/>
          <w14:ligatures w14:val="none"/>
        </w:rPr>
        <w:t>ho gỗ II thường được xây dựng ở vị trí đầu mối của các đường giao thông, có diện tích tương đối rộng, cao ráo, không có mạch nước ngầm, bằng phẳng, địa chất ổn định. Nếu ở vị trí ven sông, yêu cầu mực nước tại đó phải có độ sâu nhất định, lòng sông không bị lầy sình, có khả năng phát triển dọc bờ sông. Căn cứ vào vị trí và phương tiện vận xuất, vận chuyển lâm sản đến và đi khỏi kho gỗ, người ta chia kho gỗ ra các loại sau: 1) kho gỗ đường bộ là kho tiếp giáp với đường bộ (đường ô tô, hay đường sắt), phương tiện đường bộ vận chuyển  đến và đi khỏi kho</w:t>
      </w:r>
      <w:r w:rsidRPr="00317F4D">
        <w:rPr>
          <w:rFonts w:eastAsia="Calibri" w:cs="Times New Roman"/>
          <w:kern w:val="0"/>
          <w:sz w:val="28"/>
          <w:szCs w:val="28"/>
          <w:lang w:val="vi-VN"/>
          <w14:ligatures w14:val="none"/>
        </w:rPr>
        <w:t>;</w:t>
      </w:r>
      <w:r w:rsidRPr="00317F4D">
        <w:rPr>
          <w:rFonts w:eastAsia="Calibri" w:cs="Times New Roman"/>
          <w:kern w:val="0"/>
          <w:sz w:val="28"/>
          <w:szCs w:val="28"/>
          <w:lang w:val="pt-BR"/>
          <w14:ligatures w14:val="none"/>
        </w:rPr>
        <w:t xml:space="preserve"> 2) kho gỗ đường thuỷ là kho tiếp giáp với đường thuỷ (suối, sông, hồ, biển), phương tiện đường thủy vận chuyển đến và đi khỏi kho; 3) kho gỗ  thuỷ - bộ là kho tiếp giáp với đường thuỷ và đường bộ, phương tiện đường thủy vận chuyển đến kho và phương tiện đường bộ vận chuyển đi khỏi kho</w:t>
      </w:r>
      <w:r w:rsidRPr="00317F4D">
        <w:rPr>
          <w:rFonts w:eastAsia="Calibri" w:cs="Times New Roman"/>
          <w:kern w:val="0"/>
          <w:sz w:val="28"/>
          <w:szCs w:val="28"/>
          <w:lang w:val="vi-VN"/>
          <w14:ligatures w14:val="none"/>
        </w:rPr>
        <w:t>;</w:t>
      </w:r>
      <w:r w:rsidRPr="00317F4D">
        <w:rPr>
          <w:rFonts w:eastAsia="Calibri" w:cs="Times New Roman"/>
          <w:kern w:val="0"/>
          <w:sz w:val="28"/>
          <w:szCs w:val="28"/>
          <w:lang w:val="pt-BR"/>
          <w14:ligatures w14:val="none"/>
        </w:rPr>
        <w:t xml:space="preserve"> 4) kho gỗ bộ - thuỷ là kho tiếp giáp với đường bộ và đường thuỷ, phương tiện đường bộ vận chuyển đến kho, đi khỏi kho là đường thuỷ.</w:t>
      </w:r>
    </w:p>
    <w:p w14:paraId="3193BE10" w14:textId="77777777" w:rsidR="00317F4D" w:rsidRPr="00317F4D" w:rsidRDefault="00317F4D" w:rsidP="00317F4D">
      <w:pPr>
        <w:overflowPunct w:val="0"/>
        <w:autoSpaceDE w:val="0"/>
        <w:autoSpaceDN w:val="0"/>
        <w:adjustRightInd w:val="0"/>
        <w:spacing w:before="60" w:after="60" w:line="240" w:lineRule="auto"/>
        <w:ind w:firstLine="720"/>
        <w:jc w:val="right"/>
        <w:rPr>
          <w:rFonts w:eastAsia="Calibri" w:cs="Times New Roman"/>
          <w:b/>
          <w:kern w:val="0"/>
          <w:sz w:val="20"/>
          <w:szCs w:val="20"/>
          <w:lang w:val="vi-VN"/>
          <w14:ligatures w14:val="none"/>
        </w:rPr>
      </w:pPr>
      <w:r w:rsidRPr="00317F4D">
        <w:rPr>
          <w:rFonts w:eastAsia="Calibri" w:cs="Times New Roman"/>
          <w:b/>
          <w:kern w:val="0"/>
          <w:sz w:val="20"/>
          <w:szCs w:val="20"/>
          <w:lang w:val="vi-VN"/>
          <w14:ligatures w14:val="none"/>
        </w:rPr>
        <w:t>PHẠM VĂN CHƯƠNG, PHẠM VĂN LÝ</w:t>
      </w:r>
    </w:p>
    <w:p w14:paraId="0BEF44FB" w14:textId="77777777" w:rsidR="00317F4D" w:rsidRPr="00317F4D" w:rsidRDefault="00317F4D" w:rsidP="00317F4D">
      <w:pPr>
        <w:adjustRightInd w:val="0"/>
        <w:snapToGrid w:val="0"/>
        <w:spacing w:before="60" w:after="60" w:line="240" w:lineRule="auto"/>
        <w:jc w:val="both"/>
        <w:rPr>
          <w:rFonts w:eastAsia="Calibri" w:cs="Times New Roman"/>
          <w:b/>
          <w:kern w:val="0"/>
          <w:sz w:val="20"/>
          <w:szCs w:val="20"/>
          <w:lang w:val="vi-VN"/>
          <w14:ligatures w14:val="none"/>
        </w:rPr>
      </w:pPr>
    </w:p>
    <w:p w14:paraId="75360A80" w14:textId="77777777" w:rsidR="00317F4D" w:rsidRPr="00317F4D" w:rsidRDefault="00317F4D" w:rsidP="00317F4D">
      <w:pPr>
        <w:adjustRightInd w:val="0"/>
        <w:snapToGrid w:val="0"/>
        <w:spacing w:before="60" w:after="60" w:line="240" w:lineRule="auto"/>
        <w:jc w:val="both"/>
        <w:rPr>
          <w:rFonts w:eastAsia="Calibri" w:cs="Times New Roman"/>
          <w:b/>
          <w:kern w:val="0"/>
          <w:sz w:val="20"/>
          <w:szCs w:val="20"/>
          <w14:ligatures w14:val="none"/>
        </w:rPr>
      </w:pPr>
      <w:r w:rsidRPr="00317F4D">
        <w:rPr>
          <w:rFonts w:eastAsia="Calibri" w:cs="Times New Roman"/>
          <w:b/>
          <w:kern w:val="0"/>
          <w:sz w:val="20"/>
          <w:szCs w:val="20"/>
          <w14:ligatures w14:val="none"/>
        </w:rPr>
        <w:t>Tài liệu tham khảo:</w:t>
      </w:r>
    </w:p>
    <w:p w14:paraId="353DCEFB" w14:textId="77777777" w:rsidR="00317F4D" w:rsidRPr="00317F4D" w:rsidRDefault="00317F4D" w:rsidP="00317F4D">
      <w:pPr>
        <w:tabs>
          <w:tab w:val="left" w:pos="284"/>
          <w:tab w:val="left" w:pos="1080"/>
        </w:tabs>
        <w:adjustRightInd w:val="0"/>
        <w:snapToGrid w:val="0"/>
        <w:spacing w:before="60" w:after="60" w:line="240" w:lineRule="auto"/>
        <w:jc w:val="both"/>
        <w:rPr>
          <w:rFonts w:eastAsia="Calibri" w:cs="Times New Roman"/>
          <w:kern w:val="0"/>
          <w:sz w:val="20"/>
          <w:szCs w:val="20"/>
          <w:lang w:val="de-DE"/>
          <w14:ligatures w14:val="none"/>
        </w:rPr>
      </w:pPr>
      <w:r w:rsidRPr="00317F4D">
        <w:rPr>
          <w:rFonts w:eastAsia="Calibri" w:cs="Times New Roman"/>
          <w:kern w:val="0"/>
          <w:sz w:val="20"/>
          <w:szCs w:val="20"/>
          <w:lang w:val="de-DE"/>
          <w14:ligatures w14:val="none"/>
        </w:rPr>
        <w:t xml:space="preserve">1. Mikko Kantola, Pertti Harstela, </w:t>
      </w:r>
      <w:r w:rsidRPr="00317F4D">
        <w:rPr>
          <w:rFonts w:eastAsia="Calibri" w:cs="Times New Roman"/>
          <w:i/>
          <w:kern w:val="0"/>
          <w:sz w:val="20"/>
          <w:szCs w:val="20"/>
          <w:lang w:val="de-DE"/>
          <w14:ligatures w14:val="none"/>
        </w:rPr>
        <w:t xml:space="preserve">Handbook on appropriate technology for forestry operations in developing countries, </w:t>
      </w:r>
      <w:r w:rsidRPr="00317F4D">
        <w:rPr>
          <w:rFonts w:eastAsia="Calibri" w:cs="Times New Roman"/>
          <w:kern w:val="0"/>
          <w:sz w:val="20"/>
          <w:szCs w:val="20"/>
          <w:lang w:val="de-DE"/>
          <w14:ligatures w14:val="none"/>
        </w:rPr>
        <w:t>Helsinki, 1991.</w:t>
      </w:r>
    </w:p>
    <w:p w14:paraId="1F3A3E0A" w14:textId="77777777" w:rsidR="00317F4D" w:rsidRPr="00317F4D" w:rsidRDefault="00317F4D" w:rsidP="00317F4D">
      <w:pPr>
        <w:tabs>
          <w:tab w:val="left" w:pos="284"/>
          <w:tab w:val="left" w:pos="1080"/>
        </w:tabs>
        <w:spacing w:before="60" w:after="60" w:line="240" w:lineRule="auto"/>
        <w:jc w:val="both"/>
        <w:rPr>
          <w:rFonts w:eastAsia="Calibri" w:cs="Times New Roman"/>
          <w:kern w:val="0"/>
          <w:sz w:val="20"/>
          <w:szCs w:val="20"/>
          <w:lang w:val="pt-BR"/>
          <w14:ligatures w14:val="none"/>
        </w:rPr>
      </w:pPr>
      <w:r w:rsidRPr="00317F4D">
        <w:rPr>
          <w:rFonts w:eastAsia="Calibri" w:cs="Times New Roman"/>
          <w:kern w:val="0"/>
          <w:sz w:val="20"/>
          <w:szCs w:val="20"/>
          <w:lang w:val="pt-BR"/>
          <w14:ligatures w14:val="none"/>
        </w:rPr>
        <w:t xml:space="preserve">2. Т.А.Антипенко и другие, </w:t>
      </w:r>
      <w:r w:rsidRPr="00317F4D">
        <w:rPr>
          <w:rFonts w:eastAsia="Calibri" w:cs="Times New Roman"/>
          <w:i/>
          <w:kern w:val="0"/>
          <w:sz w:val="20"/>
          <w:szCs w:val="20"/>
          <w:lang w:val="pt-BR"/>
          <w14:ligatures w14:val="none"/>
        </w:rPr>
        <w:t>энциклопедия лесного хозяйства</w:t>
      </w:r>
      <w:r w:rsidRPr="00317F4D">
        <w:rPr>
          <w:rFonts w:eastAsia="Calibri" w:cs="Times New Roman"/>
          <w:kern w:val="0"/>
          <w:sz w:val="20"/>
          <w:szCs w:val="20"/>
          <w:lang w:val="vi-VN"/>
          <w14:ligatures w14:val="none"/>
        </w:rPr>
        <w:t>, Издательство</w:t>
      </w:r>
      <w:r w:rsidRPr="00317F4D">
        <w:rPr>
          <w:rFonts w:eastAsia="Calibri" w:cs="Times New Roman"/>
          <w:kern w:val="0"/>
          <w:sz w:val="20"/>
          <w:szCs w:val="20"/>
          <w:lang w:val="pt-BR"/>
          <w14:ligatures w14:val="none"/>
        </w:rPr>
        <w:t xml:space="preserve"> ВНИИЛМ, ISBN: 5-94737-022-0</w:t>
      </w:r>
      <w:r w:rsidRPr="00317F4D">
        <w:rPr>
          <w:rFonts w:eastAsia="Calibri" w:cs="Times New Roman"/>
          <w:kern w:val="0"/>
          <w:sz w:val="20"/>
          <w:szCs w:val="20"/>
          <w:lang w:val="vi-VN"/>
          <w14:ligatures w14:val="none"/>
        </w:rPr>
        <w:t>,</w:t>
      </w:r>
      <w:r w:rsidRPr="00317F4D">
        <w:rPr>
          <w:rFonts w:eastAsia="Calibri" w:cs="Times New Roman"/>
          <w:kern w:val="0"/>
          <w:sz w:val="20"/>
          <w:szCs w:val="20"/>
          <w:lang w:val="pt-BR"/>
          <w14:ligatures w14:val="none"/>
        </w:rPr>
        <w:t xml:space="preserve"> Москва</w:t>
      </w:r>
      <w:r w:rsidRPr="00317F4D">
        <w:rPr>
          <w:rFonts w:eastAsia="Calibri" w:cs="Times New Roman"/>
          <w:kern w:val="0"/>
          <w:sz w:val="20"/>
          <w:szCs w:val="20"/>
          <w:lang w:val="vi-VN"/>
          <w14:ligatures w14:val="none"/>
        </w:rPr>
        <w:t>,</w:t>
      </w:r>
      <w:r w:rsidRPr="00317F4D">
        <w:rPr>
          <w:rFonts w:eastAsia="Calibri" w:cs="Times New Roman"/>
          <w:kern w:val="0"/>
          <w:sz w:val="20"/>
          <w:szCs w:val="20"/>
          <w:lang w:val="pt-BR"/>
          <w14:ligatures w14:val="none"/>
        </w:rPr>
        <w:t xml:space="preserve"> 2006</w:t>
      </w:r>
    </w:p>
    <w:p w14:paraId="0A12E823" w14:textId="248A9677" w:rsidR="002B1871" w:rsidRPr="00682D16" w:rsidRDefault="00317F4D" w:rsidP="00682D16">
      <w:pPr>
        <w:tabs>
          <w:tab w:val="left" w:pos="284"/>
          <w:tab w:val="left" w:pos="1080"/>
        </w:tabs>
        <w:spacing w:before="60" w:after="60" w:line="240" w:lineRule="auto"/>
        <w:jc w:val="both"/>
        <w:rPr>
          <w:rFonts w:eastAsia="Calibri" w:cs="Times New Roman"/>
          <w:kern w:val="0"/>
          <w:sz w:val="20"/>
          <w:szCs w:val="20"/>
          <w:lang w:eastAsia="zh-CN"/>
          <w14:ligatures w14:val="none"/>
        </w:rPr>
      </w:pPr>
      <w:r w:rsidRPr="00317F4D">
        <w:rPr>
          <w:rFonts w:eastAsia="MS Gothic" w:cs="Times New Roman"/>
          <w:kern w:val="0"/>
          <w:sz w:val="20"/>
          <w:szCs w:val="20"/>
          <w:lang w:eastAsia="zh-CN"/>
          <w14:ligatures w14:val="none"/>
        </w:rPr>
        <w:t xml:space="preserve">3. </w:t>
      </w:r>
      <w:r w:rsidRPr="00317F4D">
        <w:rPr>
          <w:rFonts w:eastAsia="MS Gothic" w:cs="Times New Roman"/>
          <w:kern w:val="0"/>
          <w:sz w:val="20"/>
          <w:szCs w:val="20"/>
          <w:lang w:eastAsia="zh-CN"/>
          <w14:ligatures w14:val="none"/>
        </w:rPr>
        <w:t>中国</w:t>
      </w:r>
      <w:r w:rsidRPr="00317F4D">
        <w:rPr>
          <w:rFonts w:eastAsia="SimSun" w:cs="Times New Roman"/>
          <w:kern w:val="0"/>
          <w:sz w:val="20"/>
          <w:szCs w:val="20"/>
          <w:lang w:eastAsia="zh-CN"/>
          <w14:ligatures w14:val="none"/>
        </w:rPr>
        <w:t>农业百科全书总编辑委员会</w:t>
      </w:r>
      <w:r w:rsidRPr="00317F4D">
        <w:rPr>
          <w:rFonts w:eastAsia="MS Gothic" w:cs="Times New Roman"/>
          <w:kern w:val="0"/>
          <w:sz w:val="20"/>
          <w:szCs w:val="20"/>
          <w:lang w:val="pt-BR" w:eastAsia="zh-CN"/>
          <w14:ligatures w14:val="none"/>
        </w:rPr>
        <w:t xml:space="preserve">, </w:t>
      </w:r>
      <w:r w:rsidRPr="00317F4D">
        <w:rPr>
          <w:rFonts w:eastAsia="MS Gothic" w:cs="Times New Roman"/>
          <w:i/>
          <w:kern w:val="0"/>
          <w:sz w:val="20"/>
          <w:szCs w:val="20"/>
          <w:lang w:eastAsia="zh-CN"/>
          <w14:ligatures w14:val="none"/>
        </w:rPr>
        <w:t>中国</w:t>
      </w:r>
      <w:r w:rsidRPr="00317F4D">
        <w:rPr>
          <w:rFonts w:eastAsia="SimSun" w:cs="Times New Roman"/>
          <w:i/>
          <w:kern w:val="0"/>
          <w:sz w:val="20"/>
          <w:szCs w:val="20"/>
          <w:lang w:eastAsia="zh-CN"/>
          <w14:ligatures w14:val="none"/>
        </w:rPr>
        <w:t>农业百科全书</w:t>
      </w:r>
      <w:r w:rsidRPr="00317F4D">
        <w:rPr>
          <w:rFonts w:eastAsia="Calibri" w:cs="Times New Roman"/>
          <w:i/>
          <w:kern w:val="0"/>
          <w:sz w:val="20"/>
          <w:szCs w:val="20"/>
          <w:lang w:val="pt-BR" w:eastAsia="zh-CN"/>
          <w14:ligatures w14:val="none"/>
        </w:rPr>
        <w:t>(</w:t>
      </w:r>
      <w:r w:rsidRPr="00317F4D">
        <w:rPr>
          <w:rFonts w:eastAsia="MS Gothic" w:cs="Times New Roman"/>
          <w:i/>
          <w:kern w:val="0"/>
          <w:sz w:val="20"/>
          <w:szCs w:val="20"/>
          <w:lang w:eastAsia="zh-CN"/>
          <w14:ligatures w14:val="none"/>
        </w:rPr>
        <w:t>森林工</w:t>
      </w:r>
      <w:r w:rsidRPr="00317F4D">
        <w:rPr>
          <w:rFonts w:eastAsia="SimSun" w:cs="Times New Roman"/>
          <w:i/>
          <w:kern w:val="0"/>
          <w:sz w:val="20"/>
          <w:szCs w:val="20"/>
          <w:lang w:eastAsia="zh-CN"/>
          <w14:ligatures w14:val="none"/>
        </w:rPr>
        <w:t>业卷</w:t>
      </w:r>
      <w:r w:rsidRPr="00317F4D">
        <w:rPr>
          <w:rFonts w:eastAsia="Calibri" w:cs="Times New Roman"/>
          <w:i/>
          <w:kern w:val="0"/>
          <w:sz w:val="20"/>
          <w:szCs w:val="20"/>
          <w:lang w:val="pt-BR" w:eastAsia="zh-CN"/>
          <w14:ligatures w14:val="none"/>
        </w:rPr>
        <w:t>)[M]</w:t>
      </w:r>
      <w:r w:rsidRPr="00317F4D">
        <w:rPr>
          <w:rFonts w:eastAsia="Calibri" w:cs="Times New Roman"/>
          <w:kern w:val="0"/>
          <w:sz w:val="20"/>
          <w:szCs w:val="20"/>
          <w:lang w:val="pt-BR" w:eastAsia="zh-CN"/>
          <w14:ligatures w14:val="none"/>
        </w:rPr>
        <w:t>.</w:t>
      </w:r>
      <w:r w:rsidRPr="00317F4D">
        <w:rPr>
          <w:rFonts w:eastAsia="SimSun" w:cs="Times New Roman"/>
          <w:kern w:val="0"/>
          <w:sz w:val="20"/>
          <w:szCs w:val="20"/>
          <w:lang w:eastAsia="zh-CN"/>
          <w14:ligatures w14:val="none"/>
        </w:rPr>
        <w:t>农业出版</w:t>
      </w:r>
      <w:r w:rsidRPr="00317F4D">
        <w:rPr>
          <w:rFonts w:eastAsia="MS Gothic" w:cs="Times New Roman"/>
          <w:kern w:val="0"/>
          <w:sz w:val="20"/>
          <w:szCs w:val="20"/>
          <w:lang w:eastAsia="zh-CN"/>
          <w14:ligatures w14:val="none"/>
        </w:rPr>
        <w:t>社</w:t>
      </w:r>
      <w:r w:rsidRPr="00317F4D">
        <w:rPr>
          <w:rFonts w:eastAsia="Calibri" w:cs="Times New Roman"/>
          <w:kern w:val="0"/>
          <w:sz w:val="20"/>
          <w:szCs w:val="20"/>
          <w:lang w:val="pt-BR" w:eastAsia="zh-CN"/>
          <w14:ligatures w14:val="none"/>
        </w:rPr>
        <w:t>,</w:t>
      </w:r>
      <w:r w:rsidRPr="00317F4D">
        <w:rPr>
          <w:rFonts w:eastAsia="Calibri" w:cs="Times New Roman"/>
          <w:kern w:val="0"/>
          <w:sz w:val="20"/>
          <w:szCs w:val="20"/>
          <w:lang w:val="vi-VN" w:eastAsia="zh-CN"/>
          <w14:ligatures w14:val="none"/>
        </w:rPr>
        <w:t xml:space="preserve"> </w:t>
      </w:r>
      <w:r w:rsidRPr="00317F4D">
        <w:rPr>
          <w:rFonts w:eastAsia="MS Gothic" w:cs="Times New Roman"/>
          <w:kern w:val="0"/>
          <w:sz w:val="20"/>
          <w:szCs w:val="20"/>
          <w:lang w:eastAsia="zh-CN"/>
          <w14:ligatures w14:val="none"/>
        </w:rPr>
        <w:t>北京</w:t>
      </w:r>
      <w:r w:rsidRPr="00317F4D">
        <w:rPr>
          <w:rFonts w:eastAsia="MS Gothic" w:cs="Times New Roman"/>
          <w:kern w:val="0"/>
          <w:sz w:val="20"/>
          <w:szCs w:val="20"/>
          <w:lang w:eastAsia="zh-CN"/>
          <w14:ligatures w14:val="none"/>
        </w:rPr>
        <w:t>, 1993.</w:t>
      </w:r>
    </w:p>
    <w:sectPr w:rsidR="002B1871" w:rsidRPr="00682D16"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4D"/>
    <w:rsid w:val="00060052"/>
    <w:rsid w:val="0014220F"/>
    <w:rsid w:val="002B1871"/>
    <w:rsid w:val="002F0A7D"/>
    <w:rsid w:val="00317F4D"/>
    <w:rsid w:val="00587EC0"/>
    <w:rsid w:val="00682D16"/>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9E6A"/>
  <w15:chartTrackingRefBased/>
  <w15:docId w15:val="{94422C94-8A0A-41A9-BEC0-691B3D3A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317F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7F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7F4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7F4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7F4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17F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7F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7F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7F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F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7F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17F4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7F4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17F4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17F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7F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7F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7F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7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F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F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7F4D"/>
    <w:pPr>
      <w:spacing w:before="160"/>
      <w:jc w:val="center"/>
    </w:pPr>
    <w:rPr>
      <w:i/>
      <w:iCs/>
      <w:color w:val="404040" w:themeColor="text1" w:themeTint="BF"/>
    </w:rPr>
  </w:style>
  <w:style w:type="character" w:customStyle="1" w:styleId="QuoteChar">
    <w:name w:val="Quote Char"/>
    <w:basedOn w:val="DefaultParagraphFont"/>
    <w:link w:val="Quote"/>
    <w:uiPriority w:val="29"/>
    <w:rsid w:val="00317F4D"/>
    <w:rPr>
      <w:i/>
      <w:iCs/>
      <w:color w:val="404040" w:themeColor="text1" w:themeTint="BF"/>
    </w:rPr>
  </w:style>
  <w:style w:type="paragraph" w:styleId="ListParagraph">
    <w:name w:val="List Paragraph"/>
    <w:basedOn w:val="Normal"/>
    <w:uiPriority w:val="34"/>
    <w:qFormat/>
    <w:rsid w:val="00317F4D"/>
    <w:pPr>
      <w:ind w:left="720"/>
      <w:contextualSpacing/>
    </w:pPr>
  </w:style>
  <w:style w:type="character" w:styleId="IntenseEmphasis">
    <w:name w:val="Intense Emphasis"/>
    <w:basedOn w:val="DefaultParagraphFont"/>
    <w:uiPriority w:val="21"/>
    <w:qFormat/>
    <w:rsid w:val="00317F4D"/>
    <w:rPr>
      <w:i/>
      <w:iCs/>
      <w:color w:val="2E74B5" w:themeColor="accent1" w:themeShade="BF"/>
    </w:rPr>
  </w:style>
  <w:style w:type="paragraph" w:styleId="IntenseQuote">
    <w:name w:val="Intense Quote"/>
    <w:basedOn w:val="Normal"/>
    <w:next w:val="Normal"/>
    <w:link w:val="IntenseQuoteChar"/>
    <w:uiPriority w:val="30"/>
    <w:qFormat/>
    <w:rsid w:val="00317F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7F4D"/>
    <w:rPr>
      <w:i/>
      <w:iCs/>
      <w:color w:val="2E74B5" w:themeColor="accent1" w:themeShade="BF"/>
    </w:rPr>
  </w:style>
  <w:style w:type="character" w:styleId="IntenseReference">
    <w:name w:val="Intense Reference"/>
    <w:basedOn w:val="DefaultParagraphFont"/>
    <w:uiPriority w:val="32"/>
    <w:qFormat/>
    <w:rsid w:val="00317F4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2</cp:revision>
  <dcterms:created xsi:type="dcterms:W3CDTF">2025-12-04T01:36:00Z</dcterms:created>
  <dcterms:modified xsi:type="dcterms:W3CDTF">2025-12-04T01:36:00Z</dcterms:modified>
</cp:coreProperties>
</file>